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3"/>
        </w:tabs>
        <w:spacing w:before="197" w:line="323" w:lineRule="auto"/>
        <w:ind w:right="803" w:firstLine="0" w:firstLineChars="0"/>
        <w:jc w:val="both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附件</w:t>
      </w:r>
      <w:r>
        <w:rPr>
          <w:rFonts w:ascii="黑体" w:hAnsi="黑体" w:eastAsia="黑体" w:cs="仿宋"/>
          <w:spacing w:val="-2"/>
          <w:sz w:val="32"/>
          <w:szCs w:val="32"/>
        </w:rPr>
        <w:t>2</w:t>
      </w:r>
      <w:r>
        <w:rPr>
          <w:rFonts w:hint="eastAsia" w:ascii="黑体" w:hAnsi="黑体" w:eastAsia="黑体" w:cs="仿宋"/>
          <w:spacing w:val="-2"/>
          <w:sz w:val="32"/>
          <w:szCs w:val="32"/>
        </w:rPr>
        <w:t>:</w:t>
      </w:r>
    </w:p>
    <w:p>
      <w:pPr>
        <w:spacing w:line="218" w:lineRule="auto"/>
        <w:ind w:firstLine="0" w:firstLineChars="0"/>
        <w:jc w:val="center"/>
        <w:rPr>
          <w:rFonts w:ascii="方正小标宋_GBK" w:eastAsia="方正小标宋_GBK" w:hAnsiTheme="majorEastAsia" w:cstheme="majorEastAsia"/>
          <w:bCs/>
          <w:spacing w:val="-12"/>
          <w:sz w:val="10"/>
          <w:szCs w:val="1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2"/>
          <w:sz w:val="44"/>
          <w:szCs w:val="44"/>
        </w:rPr>
        <w:t>供应承诺书</w:t>
      </w:r>
    </w:p>
    <w:p>
      <w:pPr>
        <w:spacing w:before="147" w:line="219" w:lineRule="auto"/>
        <w:ind w:firstLine="0" w:firstLineChars="0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10"/>
          <w:szCs w:val="10"/>
        </w:rPr>
      </w:pPr>
    </w:p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西藏自治区药品采购服务管理中心：</w:t>
      </w:r>
    </w:p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药品通用名、规格包装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为全国药品集中采购 (GY-YD2023-1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中选供应药品，我司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是/否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愿意以第二备供身份在西藏自治区供货并提供相关服务。供应品种及挂网价格见下表。</w:t>
      </w:r>
    </w:p>
    <w:p>
      <w:pPr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西藏自治区第二备供企业供应品种及挂网价格</w:t>
      </w:r>
    </w:p>
    <w:tbl>
      <w:tblPr>
        <w:tblStyle w:val="4"/>
        <w:tblW w:w="9317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237"/>
        <w:gridCol w:w="993"/>
        <w:gridCol w:w="1275"/>
        <w:gridCol w:w="1276"/>
        <w:gridCol w:w="1336"/>
        <w:gridCol w:w="135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品种序号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剂型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规格包装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包装方式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挂网价格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420" w:firstLine="0" w:firstLineChars="0"/>
      </w:pPr>
    </w:p>
    <w:p>
      <w:pPr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>生产企业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ind w:firstLine="56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mRiNWU0MGJlODRhYjg5ODlmNzBkMTEyMjcwZDgifQ=="/>
  </w:docVars>
  <w:rsids>
    <w:rsidRoot w:val="4A295331"/>
    <w:rsid w:val="00426B72"/>
    <w:rsid w:val="2ADE4138"/>
    <w:rsid w:val="4A295331"/>
    <w:rsid w:val="531D7DD5"/>
    <w:rsid w:val="712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pPr>
      <w:spacing w:line="240" w:lineRule="auto"/>
      <w:ind w:firstLine="0" w:firstLineChars="0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2023-05-05T07:21:00Z</dcterms:created>
  <dc:creator>ArmJLha</dc:creator>
  <cp:lastModifiedBy>ArmJLha</cp:lastModifiedBy>
  <dcterms:modified xsi:type="dcterms:W3CDTF">2023-05-05T07:22:12Z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001A002950B24F839BC1C63960455B23_11</vt:lpwstr>
  </property>
</Properties>
</file>